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9"/>
        <w:shd w:val="clear" w:color="auto" w:fill="auto"/>
        <w:spacing w:lineRule="auto" w:line="276"/>
        <w:ind w:hanging="4767" w:left="9020"/>
        <w:jc w:val="right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9"/>
        <w:shd w:val="clear" w:color="auto" w:fill="auto"/>
        <w:spacing w:lineRule="auto" w:line="276"/>
        <w:ind w:hanging="4767" w:left="9020"/>
        <w:jc w:val="right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jc w:val="right"/>
        <w:rPr>
          <w:rFonts w:ascii="Times New Roman" w:hAnsi="Times New Roman"/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</w:t>
      </w:r>
    </w:p>
    <w:p>
      <w:pPr>
        <w:pStyle w:val="Normal"/>
        <w:keepNext w:val="true"/>
        <w:keepLines/>
        <w:jc w:val="center"/>
        <w:rPr/>
      </w:pPr>
      <w:r>
        <w:rPr>
          <w:rFonts w:eastAsia="Calibri"/>
          <w:sz w:val="24"/>
          <w:szCs w:val="24"/>
        </w:rPr>
        <w:t xml:space="preserve">на </w:t>
      </w:r>
      <w:r>
        <w:rPr>
          <w:rFonts w:eastAsia="Calibri"/>
          <w:b w:val="false"/>
          <w:bCs w:val="false"/>
          <w:i w:val="false"/>
          <w:iCs w:val="false"/>
          <w:sz w:val="24"/>
          <w:szCs w:val="24"/>
        </w:rPr>
        <w:t>[</w:t>
      </w:r>
      <w:r>
        <w:rPr>
          <w:rFonts w:eastAsia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ОКПД2 [43.99.90.160]  Аренда</w:t>
      </w:r>
      <w:r>
        <w:rPr>
          <w:rStyle w:val="Style8"/>
          <w:rFonts w:eastAsia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val="ru-RU"/>
        </w:rPr>
        <w:t xml:space="preserve"> самосвала с экипажем для нужд Дагестанского филиала</w:t>
      </w:r>
    </w:p>
    <w:p>
      <w:pPr>
        <w:pStyle w:val="Normal"/>
        <w:jc w:val="center"/>
        <w:rPr/>
      </w:pPr>
      <w:r>
        <w:rPr>
          <w:rStyle w:val="Style8"/>
          <w:rFonts w:eastAsia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val="ru-RU"/>
        </w:rPr>
        <w:t xml:space="preserve"> </w:t>
      </w:r>
      <w:r>
        <w:rPr>
          <w:rStyle w:val="Style8"/>
          <w:rFonts w:eastAsia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val="ru-RU"/>
        </w:rPr>
        <w:t>АО «Гидроремонт-ВКК» в г. Махачкала</w:t>
      </w:r>
    </w:p>
    <w:p>
      <w:pPr>
        <w:pStyle w:val="Normal"/>
        <w:keepNext w:val="true"/>
        <w:keepLines/>
        <w:jc w:val="center"/>
        <w:rPr>
          <w:rFonts w:ascii="Times New Roman" w:hAnsi="Times New Roman"/>
          <w:sz w:val="24"/>
          <w:szCs w:val="24"/>
        </w:rPr>
      </w:pPr>
      <w:r>
        <w:rPr>
          <w:rFonts w:eastAsia="Calibri"/>
          <w:b w:val="false"/>
          <w:bCs w:val="false"/>
          <w:sz w:val="24"/>
          <w:szCs w:val="24"/>
        </w:rPr>
        <w:t>Лот №</w:t>
      </w:r>
      <w:r>
        <w:rPr>
          <w:rFonts w:eastAsia="Calibri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em w:val="none"/>
        </w:rPr>
        <w:t>____________________________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3"/>
        </w:numPr>
        <w:ind w:hanging="360" w:left="567"/>
        <w:jc w:val="center"/>
        <w:rPr>
          <w:rFonts w:ascii="Times New Roman" w:hAnsi="Times New Roman"/>
          <w:sz w:val="24"/>
          <w:szCs w:val="24"/>
        </w:rPr>
      </w:pPr>
      <w:bookmarkStart w:id="0" w:name="_Toc54643694"/>
      <w:r>
        <w:rPr>
          <w:b/>
          <w:sz w:val="24"/>
          <w:szCs w:val="24"/>
        </w:rPr>
        <w:t>Общие сведения</w:t>
      </w:r>
      <w:bookmarkEnd w:id="0"/>
    </w:p>
    <w:p>
      <w:pPr>
        <w:pStyle w:val="Heading4"/>
        <w:numPr>
          <w:ilvl w:val="1"/>
          <w:numId w:val="3"/>
        </w:numPr>
        <w:spacing w:before="0" w:after="0"/>
        <w:ind w:hanging="432" w:left="567"/>
        <w:jc w:val="both"/>
        <w:rPr/>
      </w:pPr>
      <w:bookmarkStart w:id="1" w:name="_Toc54643696"/>
      <w:bookmarkStart w:id="2" w:name="_Toc46743506"/>
      <w:r>
        <w:rPr>
          <w:sz w:val="24"/>
          <w:szCs w:val="24"/>
        </w:rPr>
        <w:t>Наименование закупаемой продукции</w:t>
      </w:r>
      <w:bookmarkEnd w:id="1"/>
      <w:bookmarkEnd w:id="2"/>
      <w:r>
        <w:rPr>
          <w:sz w:val="24"/>
          <w:szCs w:val="24"/>
          <w:lang w:val="ru-RU"/>
        </w:rPr>
        <w:t xml:space="preserve">: </w:t>
      </w:r>
      <w:r>
        <w:rPr>
          <w:rStyle w:val="Style8"/>
          <w:rFonts w:eastAsia="Calibr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val="ru-RU"/>
        </w:rPr>
        <w:t>[ОКПД2 [43.99.90.160]  Аренда самосвала с экипажем для нужд Дагестанского филиала АО «Гидроремонт-ВКК» в г. Махачкала</w:t>
      </w:r>
      <w:r>
        <w:rPr>
          <w:sz w:val="24"/>
          <w:szCs w:val="24"/>
          <w:lang w:val="ru-RU"/>
        </w:rPr>
        <w:t>.</w:t>
      </w:r>
    </w:p>
    <w:p>
      <w:pPr>
        <w:pStyle w:val="Heading4"/>
        <w:numPr>
          <w:ilvl w:val="1"/>
          <w:numId w:val="3"/>
        </w:numPr>
        <w:spacing w:before="0" w:after="0"/>
        <w:ind w:hanging="432" w:left="567"/>
        <w:jc w:val="both"/>
        <w:rPr/>
      </w:pPr>
      <w:bookmarkStart w:id="3" w:name="_Toc54643697"/>
      <w:bookmarkStart w:id="4" w:name="_Toc46743507"/>
      <w:r>
        <w:rPr>
          <w:sz w:val="24"/>
          <w:szCs w:val="24"/>
        </w:rPr>
        <w:t xml:space="preserve">Цель </w:t>
      </w:r>
      <w:bookmarkEnd w:id="4"/>
      <w:r>
        <w:rPr>
          <w:sz w:val="24"/>
          <w:szCs w:val="24"/>
        </w:rPr>
        <w:t xml:space="preserve">оказания услуг: </w:t>
      </w:r>
      <w:bookmarkEnd w:id="3"/>
      <w:r>
        <w:rPr>
          <w:rStyle w:val="Style8"/>
          <w:b w:val="false"/>
          <w:i w:val="false"/>
          <w:sz w:val="24"/>
          <w:szCs w:val="24"/>
          <w:shd w:fill="auto" w:val="clear"/>
          <w:lang w:val="ru-RU"/>
        </w:rPr>
        <w:t>выполнение работ в рамках исполнения договоров:</w:t>
      </w:r>
    </w:p>
    <w:p>
      <w:pPr>
        <w:pStyle w:val="Heading4"/>
        <w:spacing w:before="0" w:after="0"/>
        <w:jc w:val="both"/>
        <w:rPr/>
      </w:pPr>
      <w:r>
        <w:rPr>
          <w:rStyle w:val="Style8"/>
          <w:b w:val="false"/>
          <w:bCs w:val="false"/>
          <w:i w:val="false"/>
          <w:color w:val="000000"/>
          <w:sz w:val="24"/>
          <w:szCs w:val="24"/>
          <w:shd w:fill="auto" w:val="clear"/>
          <w:lang w:val="ru-RU"/>
        </w:rPr>
        <w:t>Исполнение договоров подряда с ПАО «РусГидро»</w:t>
      </w:r>
      <w:r>
        <w:rPr>
          <w:rStyle w:val="Style8"/>
          <w:b w:val="false"/>
          <w:bCs w:val="false"/>
          <w:i w:val="false"/>
          <w:color w:val="000000"/>
          <w:sz w:val="24"/>
          <w:szCs w:val="24"/>
          <w:shd w:fill="auto" w:val="clear"/>
          <w:lang w:val="ru-RU"/>
        </w:rPr>
        <w:t>.</w:t>
      </w:r>
    </w:p>
    <w:p>
      <w:pPr>
        <w:pStyle w:val="Heading1"/>
        <w:tabs>
          <w:tab w:val="clear" w:pos="0"/>
          <w:tab w:val="left" w:pos="851" w:leader="none"/>
        </w:tabs>
        <w:ind w:hanging="0" w:left="0"/>
        <w:rPr>
          <w:rFonts w:ascii="Times New Roman" w:hAnsi="Times New Roman"/>
          <w:sz w:val="24"/>
          <w:szCs w:val="24"/>
        </w:rPr>
      </w:pPr>
      <w:bookmarkStart w:id="5" w:name="_Toc54643699"/>
      <w:r>
        <w:rPr>
          <w:sz w:val="24"/>
          <w:szCs w:val="24"/>
        </w:rPr>
        <w:t>Таблица 1. Перечень объектов заказчика</w:t>
      </w:r>
      <w:bookmarkEnd w:id="5"/>
    </w:p>
    <w:tbl>
      <w:tblPr>
        <w:tblW w:w="992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3"/>
        <w:gridCol w:w="2914"/>
        <w:gridCol w:w="3241"/>
        <w:gridCol w:w="2954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2904" w:hRule="atLeast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Чиркейская ГЭС,</w:t>
              <w:br/>
              <w:t>Чирюртская ГЭС-1,</w:t>
              <w:br/>
              <w:t>Чирюртская ГЭС-2,</w:t>
              <w:br/>
              <w:t>Гоцатлинская ГЭС,</w:t>
              <w:br/>
              <w:t>Гергебильская ГЭС,</w:t>
              <w:br/>
              <w:t>Ирганайская ГЭС,</w:t>
              <w:br/>
              <w:t>Миатлинская ГЭС,</w:t>
              <w:br/>
              <w:t xml:space="preserve">Гельбахская ГЭС, </w:t>
              <w:br/>
              <w:t>База ГСО ПАО «РусГидро»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Республика Дагестан, Чиркейская ГЭС,</w:t>
              <w:br/>
              <w:t>Чирюртская ГЭС-1,</w:t>
              <w:br/>
              <w:t>Чирюртская ГЭС-2,</w:t>
              <w:br/>
              <w:t>Гоцатлинская ГЭС,</w:t>
              <w:br/>
              <w:t>Гергебильская ГЭС,</w:t>
              <w:br/>
              <w:t>Ирганайская ГЭС,</w:t>
              <w:br/>
              <w:t>Миатлинская ГЭС,</w:t>
              <w:br/>
              <w:t xml:space="preserve">Гельбахская ГЭС, </w:t>
              <w:br/>
              <w:t>База ГСО ПАО «РусГидро»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4"/>
              <w:widowControl w:val="false"/>
              <w:spacing w:before="120" w:after="60"/>
              <w:ind w:hanging="0" w:left="135"/>
              <w:jc w:val="center"/>
              <w:rPr/>
            </w:pPr>
            <w:r>
              <w:rPr>
                <w:iCs/>
                <w:sz w:val="24"/>
                <w:szCs w:val="24"/>
                <w:lang w:val="ru-RU"/>
              </w:rPr>
              <w:t xml:space="preserve">Объекты ПАО </w:t>
            </w:r>
            <w:r>
              <w:rPr>
                <w:rStyle w:val="Style8"/>
                <w:b w:val="false"/>
                <w:bCs w:val="false"/>
                <w:i w:val="false"/>
                <w:iCs/>
                <w:color w:val="000000"/>
                <w:sz w:val="24"/>
                <w:szCs w:val="24"/>
                <w:shd w:fill="auto" w:val="clear"/>
                <w:lang w:val="ru-RU"/>
              </w:rPr>
              <w:t>«РусГидро» по РД</w:t>
            </w:r>
          </w:p>
        </w:tc>
      </w:tr>
    </w:tbl>
    <w:p>
      <w:pPr>
        <w:pStyle w:val="Heading4"/>
        <w:numPr>
          <w:ilvl w:val="1"/>
          <w:numId w:val="3"/>
        </w:numPr>
        <w:spacing w:before="0" w:after="0"/>
        <w:ind w:hanging="432" w:left="567"/>
        <w:rPr>
          <w:rFonts w:ascii="Times New Roman" w:hAnsi="Times New Roman"/>
          <w:sz w:val="24"/>
          <w:szCs w:val="24"/>
        </w:rPr>
      </w:pPr>
      <w:bookmarkStart w:id="6" w:name="_Hlk49857604"/>
      <w:bookmarkStart w:id="7" w:name="_Toc54643700"/>
      <w:bookmarkStart w:id="8" w:name="_Toc46743509"/>
      <w:r>
        <w:rPr>
          <w:sz w:val="24"/>
          <w:szCs w:val="24"/>
        </w:rPr>
        <w:t xml:space="preserve">Информация в отношении исполнения договора, </w:t>
      </w:r>
      <w:bookmarkStart w:id="9" w:name="_Hlk46492347"/>
      <w:r>
        <w:rPr>
          <w:sz w:val="24"/>
          <w:szCs w:val="24"/>
        </w:rPr>
        <w:t xml:space="preserve">которая должна быть учтена при подготовке заявки </w:t>
      </w:r>
      <w:bookmarkEnd w:id="9"/>
      <w:r>
        <w:rPr>
          <w:sz w:val="24"/>
          <w:szCs w:val="24"/>
        </w:rPr>
        <w:t xml:space="preserve">(в том числе перечень ресурсов, услуг и документов, предоставляемых </w:t>
      </w:r>
      <w:r>
        <w:rPr>
          <w:sz w:val="24"/>
          <w:szCs w:val="24"/>
          <w:lang w:val="ru-RU"/>
        </w:rPr>
        <w:t>заказчиком</w:t>
      </w:r>
      <w:r>
        <w:rPr>
          <w:sz w:val="24"/>
          <w:szCs w:val="24"/>
        </w:rPr>
        <w:t xml:space="preserve"> на этапе исполнения договора)</w:t>
      </w:r>
      <w:bookmarkStart w:id="10" w:name="_Hlk48209761"/>
      <w:bookmarkEnd w:id="6"/>
      <w:bookmarkEnd w:id="7"/>
      <w:bookmarkEnd w:id="8"/>
      <w:r>
        <w:rPr>
          <w:sz w:val="24"/>
          <w:szCs w:val="24"/>
          <w:lang w:val="ru-RU"/>
        </w:rPr>
        <w:t xml:space="preserve">: </w:t>
      </w:r>
    </w:p>
    <w:p>
      <w:pPr>
        <w:pStyle w:val="Heading3"/>
        <w:numPr>
          <w:ilvl w:val="2"/>
          <w:numId w:val="3"/>
        </w:numPr>
        <w:ind w:hanging="504" w:left="567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Арендатор </w:t>
      </w:r>
      <w:r>
        <w:rPr>
          <w:sz w:val="24"/>
          <w:szCs w:val="24"/>
        </w:rPr>
        <w:t xml:space="preserve">планирует использовать (применять) технику в соответствии с номенклатурой (согласно </w:t>
      </w:r>
      <w:r>
        <w:rPr>
          <w:sz w:val="24"/>
          <w:szCs w:val="24"/>
          <w:lang w:val="ru-RU"/>
        </w:rPr>
        <w:t>табл.2</w:t>
      </w:r>
      <w:r>
        <w:rPr>
          <w:sz w:val="24"/>
          <w:szCs w:val="24"/>
        </w:rPr>
        <w:t>. настоящих Технических требований)</w:t>
      </w:r>
      <w:r>
        <w:rPr>
          <w:sz w:val="24"/>
          <w:szCs w:val="24"/>
          <w:lang w:val="ru-RU"/>
        </w:rPr>
        <w:t>.</w:t>
      </w:r>
    </w:p>
    <w:p>
      <w:pPr>
        <w:pStyle w:val="Heading1"/>
        <w:numPr>
          <w:ilvl w:val="0"/>
          <w:numId w:val="3"/>
        </w:numPr>
        <w:tabs>
          <w:tab w:val="clear" w:pos="0"/>
          <w:tab w:val="left" w:pos="567" w:leader="none"/>
          <w:tab w:val="left" w:pos="851" w:leader="none"/>
        </w:tabs>
        <w:spacing w:before="120" w:after="0"/>
        <w:rPr>
          <w:rFonts w:ascii="Times New Roman" w:hAnsi="Times New Roman"/>
          <w:sz w:val="24"/>
          <w:szCs w:val="24"/>
        </w:rPr>
      </w:pPr>
      <w:bookmarkStart w:id="11" w:name="_Toc157772678"/>
      <w:bookmarkEnd w:id="10"/>
      <w:r>
        <w:rPr>
          <w:b/>
          <w:sz w:val="24"/>
          <w:szCs w:val="24"/>
          <w:lang w:val="ru-RU"/>
        </w:rPr>
        <w:t>Требования</w:t>
      </w:r>
      <w:r>
        <w:rPr>
          <w:b/>
          <w:sz w:val="24"/>
          <w:szCs w:val="24"/>
        </w:rPr>
        <w:t xml:space="preserve"> к продукции</w:t>
      </w:r>
      <w:bookmarkEnd w:id="11"/>
    </w:p>
    <w:p>
      <w:pPr>
        <w:pStyle w:val="Heading4"/>
        <w:numPr>
          <w:ilvl w:val="1"/>
          <w:numId w:val="3"/>
        </w:numPr>
        <w:spacing w:before="0" w:after="0"/>
        <w:ind w:hanging="432" w:left="567"/>
        <w:rPr>
          <w:rFonts w:ascii="Times New Roman" w:hAnsi="Times New Roman"/>
          <w:sz w:val="24"/>
          <w:szCs w:val="24"/>
        </w:rPr>
      </w:pPr>
      <w:bookmarkStart w:id="12" w:name="_Toc54643703"/>
      <w:r>
        <w:rPr>
          <w:sz w:val="24"/>
          <w:szCs w:val="24"/>
        </w:rPr>
        <w:t xml:space="preserve">Требования к объемам и срокам </w:t>
      </w:r>
      <w:bookmarkEnd w:id="12"/>
      <w:r>
        <w:rPr>
          <w:sz w:val="24"/>
          <w:szCs w:val="24"/>
          <w:lang w:val="ru-RU"/>
        </w:rPr>
        <w:t>аренды</w:t>
      </w:r>
    </w:p>
    <w:p>
      <w:pPr>
        <w:pStyle w:val="Normal"/>
        <w:ind w:hanging="432" w:left="567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2.1.1. </w:t>
      </w:r>
      <w:bookmarkStart w:id="13" w:name="_Toc157772680"/>
      <w:bookmarkStart w:id="14" w:name="_Toc54643704"/>
      <w:r>
        <w:rPr>
          <w:sz w:val="24"/>
          <w:szCs w:val="24"/>
        </w:rPr>
        <w:t xml:space="preserve">Требования к перечню и объему </w:t>
      </w:r>
      <w:bookmarkEnd w:id="14"/>
      <w:r>
        <w:rPr>
          <w:sz w:val="24"/>
          <w:szCs w:val="24"/>
        </w:rPr>
        <w:t>аренды</w:t>
      </w:r>
      <w:bookmarkEnd w:id="13"/>
    </w:p>
    <w:p>
      <w:pPr>
        <w:pStyle w:val="Heading1"/>
        <w:tabs>
          <w:tab w:val="clear" w:pos="0"/>
          <w:tab w:val="left" w:pos="851" w:leader="none"/>
        </w:tabs>
        <w:spacing w:before="0" w:after="0"/>
        <w:ind w:hanging="0" w:left="0"/>
        <w:rPr>
          <w:rFonts w:ascii="Times New Roman" w:hAnsi="Times New Roman"/>
          <w:sz w:val="24"/>
          <w:szCs w:val="24"/>
        </w:rPr>
      </w:pPr>
      <w:bookmarkStart w:id="15" w:name="_Toc54643705"/>
      <w:bookmarkStart w:id="16" w:name="_Toc51339695"/>
      <w:r>
        <w:rPr>
          <w:sz w:val="24"/>
          <w:szCs w:val="24"/>
        </w:rPr>
        <w:t xml:space="preserve">Таблица 2. </w:t>
      </w:r>
      <w:bookmarkEnd w:id="15"/>
      <w:bookmarkEnd w:id="16"/>
      <w:r>
        <w:rPr>
          <w:sz w:val="24"/>
          <w:szCs w:val="24"/>
        </w:rPr>
        <w:t>Перечень и объем аренды</w:t>
      </w:r>
    </w:p>
    <w:tbl>
      <w:tblPr>
        <w:tblW w:w="979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382"/>
        <w:gridCol w:w="2096"/>
        <w:gridCol w:w="4886"/>
        <w:gridCol w:w="2430"/>
      </w:tblGrid>
      <w:tr>
        <w:trPr/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техники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техническим характеристикам ТС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шт</w:t>
            </w:r>
          </w:p>
        </w:tc>
      </w:tr>
      <w:tr>
        <w:trPr/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/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Самосвал г/п не менее 10 тонн с экипажем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widowControl w:val="false"/>
              <w:ind w:hanging="0"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Тип кузова — самосвал;</w:t>
            </w:r>
          </w:p>
          <w:p>
            <w:pPr>
              <w:pStyle w:val="ListParagraph"/>
              <w:widowControl w:val="false"/>
              <w:ind w:hanging="0"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колесная формула — 6х4;</w:t>
            </w:r>
          </w:p>
          <w:p>
            <w:pPr>
              <w:pStyle w:val="ListParagraph"/>
              <w:widowControl w:val="false"/>
              <w:ind w:hanging="0"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длина, мм — не менее 6685;</w:t>
            </w:r>
          </w:p>
          <w:p>
            <w:pPr>
              <w:pStyle w:val="ListParagraph"/>
              <w:widowControl w:val="false"/>
              <w:ind w:hanging="0"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ширина, мм — не менее 2500;</w:t>
            </w:r>
          </w:p>
          <w:p>
            <w:pPr>
              <w:pStyle w:val="ListParagraph"/>
              <w:widowControl w:val="false"/>
              <w:ind w:hanging="0"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объем самосвальной платформы, м</w:t>
            </w:r>
            <w:r>
              <w:rPr>
                <w:sz w:val="24"/>
                <w:szCs w:val="24"/>
                <w:vertAlign w:val="superscript"/>
                <w:lang w:eastAsia="x-none"/>
              </w:rPr>
              <w:t>3</w:t>
            </w:r>
            <w:r>
              <w:rPr>
                <w:sz w:val="24"/>
                <w:szCs w:val="24"/>
                <w:lang w:eastAsia="x-none"/>
              </w:rPr>
              <w:t xml:space="preserve"> — не менее 6,6;</w:t>
            </w:r>
          </w:p>
          <w:p>
            <w:pPr>
              <w:pStyle w:val="ListParagraph"/>
              <w:widowControl w:val="false"/>
              <w:ind w:hanging="0"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направление разгрузки — назад.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hanging="0"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1</w:t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2.1.2. </w:t>
      </w:r>
      <w:bookmarkStart w:id="17" w:name="_Toc157772682"/>
      <w:r>
        <w:rPr>
          <w:color w:val="000000" w:themeColor="text1"/>
          <w:sz w:val="24"/>
          <w:szCs w:val="24"/>
        </w:rPr>
        <w:t>Требования к срокам аренды</w:t>
      </w:r>
      <w:bookmarkEnd w:id="17"/>
    </w:p>
    <w:p>
      <w:pPr>
        <w:pStyle w:val="Heading1"/>
        <w:spacing w:before="0" w:after="0"/>
        <w:ind w:hanging="426" w:left="426"/>
        <w:rPr>
          <w:rFonts w:ascii="Times New Roman" w:hAnsi="Times New Roman"/>
          <w:sz w:val="24"/>
          <w:szCs w:val="24"/>
        </w:rPr>
      </w:pPr>
      <w:bookmarkStart w:id="18" w:name="_Toc157772683"/>
      <w:bookmarkStart w:id="19" w:name="_Toc54643707"/>
      <w:bookmarkStart w:id="20" w:name="_Toc50125127"/>
      <w:bookmarkStart w:id="21" w:name="_Toc51339697"/>
      <w:r>
        <w:rPr>
          <w:color w:val="000000" w:themeColor="text1"/>
          <w:sz w:val="24"/>
          <w:szCs w:val="24"/>
        </w:rPr>
        <w:t xml:space="preserve">Таблица </w:t>
      </w:r>
      <w:r>
        <w:rPr>
          <w:color w:val="000000" w:themeColor="text1"/>
          <w:sz w:val="24"/>
          <w:szCs w:val="24"/>
          <w:lang w:val="ru-RU"/>
        </w:rPr>
        <w:t>3</w:t>
      </w:r>
      <w:r>
        <w:rPr>
          <w:color w:val="000000" w:themeColor="text1"/>
          <w:sz w:val="24"/>
          <w:szCs w:val="24"/>
        </w:rPr>
        <w:t xml:space="preserve">. </w:t>
      </w:r>
      <w:bookmarkStart w:id="22" w:name="_Hlk50465284"/>
      <w:r>
        <w:rPr>
          <w:color w:val="000000" w:themeColor="text1"/>
          <w:sz w:val="24"/>
          <w:szCs w:val="24"/>
        </w:rPr>
        <w:t xml:space="preserve">Требования </w:t>
      </w:r>
      <w:r>
        <w:rPr>
          <w:color w:val="000000" w:themeColor="text1"/>
          <w:sz w:val="24"/>
          <w:szCs w:val="24"/>
          <w:lang w:val="ru-RU"/>
        </w:rPr>
        <w:t>к</w:t>
      </w:r>
      <w:r>
        <w:rPr>
          <w:color w:val="000000" w:themeColor="text1"/>
          <w:sz w:val="24"/>
          <w:szCs w:val="24"/>
        </w:rPr>
        <w:t xml:space="preserve"> срокам </w:t>
      </w:r>
      <w:bookmarkEnd w:id="19"/>
      <w:bookmarkEnd w:id="20"/>
      <w:bookmarkEnd w:id="21"/>
      <w:bookmarkEnd w:id="22"/>
      <w:r>
        <w:rPr>
          <w:color w:val="000000" w:themeColor="text1"/>
          <w:sz w:val="24"/>
          <w:szCs w:val="24"/>
          <w:lang w:val="ru-RU"/>
        </w:rPr>
        <w:t>аренды</w:t>
      </w:r>
      <w:bookmarkEnd w:id="18"/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48"/>
        <w:gridCol w:w="4849"/>
        <w:gridCol w:w="1996"/>
        <w:gridCol w:w="2116"/>
      </w:tblGrid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техники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аренды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 аренды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Самосвал г/п не менее 10 тонн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месяца с даты подписания договора*</w:t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* данный срок установлен исходя из сроков, указанных в доходных договорах, согласно пункта 1.2.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bookmarkStart w:id="23" w:name="_Toc141969503"/>
      <w:r>
        <w:rPr>
          <w:sz w:val="24"/>
          <w:szCs w:val="24"/>
        </w:rPr>
        <w:t>2.2.</w:t>
        <w:tab/>
      </w:r>
      <w:bookmarkEnd w:id="23"/>
      <w:r>
        <w:rPr>
          <w:sz w:val="24"/>
          <w:szCs w:val="24"/>
        </w:rPr>
        <w:t>Условия оплаты: арендная плата вносится арендатором в течении 7 (семи) рабочих дней с даты подписания акта оказанных услуг.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2.3. Требования к качеству продукции.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Таблица 4. Требования к качеству продукции</w:t>
      </w:r>
      <w:r>
        <w:rPr>
          <w:sz w:val="24"/>
          <w:szCs w:val="24"/>
          <w:lang w:val="en-US"/>
        </w:rPr>
        <w:t>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Style w:val="affffa"/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3"/>
        <w:gridCol w:w="2318"/>
        <w:gridCol w:w="6930"/>
      </w:tblGrid>
      <w:tr>
        <w:trPr>
          <w:trHeight w:val="705" w:hRule="atLeast"/>
        </w:trPr>
        <w:tc>
          <w:tcPr>
            <w:tcW w:w="6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3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9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4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24"/>
          </w:p>
        </w:tc>
        <w:tc>
          <w:tcPr>
            <w:tcW w:w="23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9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en-US" w:eastAsia="ru-RU" w:bidi="ar-SA"/>
              </w:rPr>
              <w:t>предоставляемой технике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.1.</w:t>
            </w:r>
          </w:p>
        </w:tc>
        <w:tc>
          <w:tcPr>
            <w:tcW w:w="231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 к предоставляемой технике</w:t>
            </w:r>
          </w:p>
        </w:tc>
        <w:tc>
          <w:tcPr>
            <w:tcW w:w="693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должен иметь технику для исполнения договора в собственности или на праве аренды материально-технических ресурсов (машин и механизмов, специальных приспособлений и инструментов)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процедурам 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en-US" w:eastAsia="ru-RU" w:bidi="ar-SA"/>
              </w:rPr>
              <w:t>аренды</w:t>
            </w:r>
          </w:p>
        </w:tc>
      </w:tr>
      <w:tr>
        <w:trPr/>
        <w:tc>
          <w:tcPr>
            <w:tcW w:w="67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2.1.</w:t>
            </w:r>
          </w:p>
        </w:tc>
        <w:tc>
          <w:tcPr>
            <w:tcW w:w="2318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Ответственность Арендодателя в части оказания услуг</w:t>
            </w:r>
          </w:p>
        </w:tc>
        <w:tc>
          <w:tcPr>
            <w:tcW w:w="6930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несет ответственность перед третьими лицами за ущерб причиненный его сотрудниками</w:t>
            </w:r>
          </w:p>
        </w:tc>
      </w:tr>
      <w:tr>
        <w:trPr/>
        <w:tc>
          <w:tcPr>
            <w:tcW w:w="67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18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производит страхование Техники и несет ответственность за возможный ущерб, причиненный Заказчику, в случае ненадлежащей эксплуатации сотруднками Арендодателя ТС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оборудованию и материалам</w:t>
            </w:r>
          </w:p>
        </w:tc>
      </w:tr>
      <w:tr>
        <w:trPr>
          <w:trHeight w:val="1390" w:hRule="atLeast"/>
        </w:trPr>
        <w:tc>
          <w:tcPr>
            <w:tcW w:w="6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3.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23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техники законодательству РФ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Используемые ТС должны соответствовать требованиям безопасности, общим требованиям, установленным «ГОСТ 25646-95. Эксплуатация строительных машин. Общие требования», ГОСТ 33997-2016 «Колесные транспортные средства. Требования к безопасности в эксплуатации и методы проверки»</w:t>
            </w:r>
          </w:p>
        </w:tc>
      </w:tr>
      <w:tr>
        <w:trPr/>
        <w:tc>
          <w:tcPr>
            <w:tcW w:w="67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3.2.</w:t>
            </w:r>
          </w:p>
        </w:tc>
        <w:tc>
          <w:tcPr>
            <w:tcW w:w="2318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техническому состоянию Техники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Предоставлять технически исправную Технику, прошедшую в установленном порядке государственный технический осмотр.</w:t>
            </w:r>
          </w:p>
        </w:tc>
      </w:tr>
      <w:tr>
        <w:trPr/>
        <w:tc>
          <w:tcPr>
            <w:tcW w:w="673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1224"/>
              <w:contextualSpacing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318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Содержание (мойка (по мере необходимости), техническое обслуживание и ремонт, в том числе приобретение запасных частей, шин, расходных материалов) заправка смазочными материалами автотранспорта осуществляется силами и средствами Арендодателя, в том числе все виды обязательного страхования, предусмотренные законодательством РФ для оказания вышеперечисленных услуг.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Затраты на топливо производятся за счет Арендатора.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Арендодателя</w:t>
            </w:r>
          </w:p>
        </w:tc>
      </w:tr>
      <w:tr>
        <w:trPr/>
        <w:tc>
          <w:tcPr>
            <w:tcW w:w="67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</w:t>
            </w:r>
          </w:p>
        </w:tc>
        <w:tc>
          <w:tcPr>
            <w:tcW w:w="2318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персоналу Арендодателя</w:t>
            </w:r>
          </w:p>
        </w:tc>
        <w:tc>
          <w:tcPr>
            <w:tcW w:w="6930" w:type="dxa"/>
            <w:tcBorders/>
            <w:shd w:color="auto" w:fill="auto" w:val="clear"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Лица, управляющие техникой, должны иметь действующие квалификационные удостоверения на работу с техникой и водительское удостоверение с разрешенной категорией.</w:t>
            </w:r>
          </w:p>
        </w:tc>
      </w:tr>
      <w:tr>
        <w:trPr/>
        <w:tc>
          <w:tcPr>
            <w:tcW w:w="673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360"/>
              <w:contextualSpacing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318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  <w:tc>
          <w:tcPr>
            <w:tcW w:w="6930" w:type="dxa"/>
            <w:tcBorders/>
            <w:shd w:color="auto" w:fill="auto" w:val="clear"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Разрешается допускать к управлению, только специально обученных и имеющих опыт работы на ТС операторов-водителей, имеющих соответствующую квалификацию, прошедших стажировку и медицинское освидетельствование. Предрейсовый и послерейсовый медосмотр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en-US" w:eastAsia="ru-RU" w:bidi="ar-SA"/>
              </w:rPr>
              <w:t>проводятся на базе Арендатора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аренды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before="60" w:after="60"/>
              <w:ind w:firstLine="142" w:left="-117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аренды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1224"/>
              <w:contextualSpacing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3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соблюдению Арендодателем технологической, производственной и трудовой дисциплин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(сотрудники Арендодателя) должен соблюдать ПДД, требования технологической, производственной и трудовой дисциплины</w:t>
            </w:r>
          </w:p>
        </w:tc>
      </w:tr>
      <w:tr>
        <w:trPr>
          <w:trHeight w:val="64" w:hRule="atLeast"/>
        </w:trPr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6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.1.</w:t>
            </w:r>
          </w:p>
        </w:tc>
        <w:tc>
          <w:tcPr>
            <w:tcW w:w="23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ТС законодательству РФ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должен соблюдать законодательство РФ при эксплуатации, обслуживании и предоставлении техники передаваемой Арендатору.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Арендодателя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7.1.</w:t>
            </w:r>
          </w:p>
        </w:tc>
        <w:tc>
          <w:tcPr>
            <w:tcW w:w="23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Обязанности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Арендодателя</w:t>
            </w:r>
          </w:p>
        </w:tc>
        <w:tc>
          <w:tcPr>
            <w:tcW w:w="693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обязан нести все расходы, связанные с эксплуатацией техники, включая, но не ограничиваясь расходы на заработную плату членам экипажей, оплату горюче-смазочных материалов и эксплуатационных жидкостей, оплату ремонта и запасных частей для спецтехники, оплату стоимости налоговых пошлин, страховых сборов, оплату штрафов, и иных расходов, возникающих в связи с эксплуатацией спецтехники.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Затраты на топливо производятся за счет Арендатора.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Арендодателю и его обязательствам, влияющим на исполнение договора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8.1.</w:t>
            </w:r>
          </w:p>
        </w:tc>
        <w:tc>
          <w:tcPr>
            <w:tcW w:w="23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Обязанности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Арендодателя</w:t>
            </w:r>
          </w:p>
        </w:tc>
        <w:tc>
          <w:tcPr>
            <w:tcW w:w="693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В случае поломки техники Арендатор уведомляет Арендодателя посредством телефонной связи. После уведомления о неисправности техники Арендодатель обязан в течении 24 часов устранить неисправность или предоставить технику с аналогичными характеристиками.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24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аренде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9.1.</w:t>
            </w:r>
          </w:p>
        </w:tc>
        <w:tc>
          <w:tcPr>
            <w:tcW w:w="23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Стоимость за 1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месяц</w:t>
            </w:r>
          </w:p>
        </w:tc>
        <w:tc>
          <w:tcPr>
            <w:tcW w:w="69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Стоимость 1 месяца является фиксированной и постоянной на протяжении всего срока действия договора.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За неполный месяц оплата производится пропорционально, фактически использованному времени.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25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en-US" w:eastAsia="ru-RU" w:bidi="ar-SA"/>
              </w:rPr>
              <w:t>9.2.</w:t>
            </w:r>
          </w:p>
        </w:tc>
        <w:tc>
          <w:tcPr>
            <w:tcW w:w="23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Конфиденциальность</w:t>
            </w:r>
          </w:p>
        </w:tc>
        <w:tc>
          <w:tcPr>
            <w:tcW w:w="69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Арендодатель должен гарантировать наличие у персонала необходимых допусков и разрешений для оказания услуг, соблюдение установленных на объекте режимных требований при входе и выходе персонала, въезде, выезде Техники и ввозе материалов, условий конфиденциальности и неразглашения информации, а также других требований, описанных в данном техническом задании.</w:t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0"/>
        </w:numPr>
        <w:spacing w:lineRule="auto" w:line="276"/>
        <w:ind w:hanging="0"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851" w:gutter="0" w:header="680" w:top="737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-418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556"/>
        </w:tabs>
        <w:ind w:left="930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7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8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9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9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7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0"/>
        <w:b w:val="false"/>
        <w:szCs w:val="2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a20b6f"/>
    <w:pPr>
      <w:keepNext w:val="true"/>
      <w:tabs>
        <w:tab w:val="clear" w:pos="708"/>
        <w:tab w:val="left" w:pos="0" w:leader="none"/>
        <w:tab w:val="left" w:pos="851" w:leader="none"/>
      </w:tabs>
      <w:spacing w:before="120" w:after="60"/>
      <w:ind w:hanging="0" w:left="567"/>
      <w:jc w:val="both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a20b6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Основной текст_"/>
    <w:link w:val="19"/>
    <w:uiPriority w:val="99"/>
    <w:qFormat/>
    <w:locked/>
    <w:rsid w:val="008e58aa"/>
    <w:rPr>
      <w:sz w:val="28"/>
      <w:szCs w:val="28"/>
      <w:shd w:fill="FFFFFF" w:val="clear"/>
    </w:rPr>
  </w:style>
  <w:style w:type="character" w:styleId="Style15" w:customStyle="1">
    <w:name w:val="Основной текст + Малые прописные"/>
    <w:uiPriority w:val="99"/>
    <w:qFormat/>
    <w:rsid w:val="008e58aa"/>
    <w:rPr>
      <w:rFonts w:ascii="Times New Roman" w:hAnsi="Times New Roman" w:cs="Times New Roman"/>
      <w:smallCaps/>
      <w:color w:val="000000"/>
      <w:spacing w:val="0"/>
      <w:w w:val="100"/>
      <w:sz w:val="28"/>
      <w:szCs w:val="28"/>
      <w:u w:val="none"/>
      <w:lang w:val="ru-RU" w:bidi="ar-SA"/>
    </w:rPr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Style1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hanging="0" w:left="36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hanging="0" w:left="283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hanging="0" w:left="283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hanging="0" w:left="-567" w:right="-766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hanging="1134" w:left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hanging="0" w:left="28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rsid w:val="00e228fa"/>
    <w:pPr/>
    <w:rPr/>
  </w:style>
  <w:style w:type="paragraph" w:styleId="Style25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hanging="0" w:left="196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hanging="0" w:left="84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hanging="0" w:left="56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1111" w:customStyle="1">
    <w:name w:val="caption111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firstLine="709" w:left="1066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hanging="0"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hanging="0" w:left="936" w:right="936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rsid w:val="00f64089"/>
    <w:pPr>
      <w:keepNext w:val="true"/>
      <w:spacing w:before="40" w:after="40"/>
      <w:ind w:hanging="0" w:left="57" w:right="57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  <w:tab w:val="left" w:pos="851" w:leader="none"/>
      </w:tabs>
      <w:spacing w:before="480" w:after="240"/>
      <w:ind w:hanging="567" w:left="567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rsid w:val="00343e95"/>
    <w:pPr>
      <w:spacing w:before="40" w:after="40"/>
      <w:ind w:hanging="0" w:left="57" w:right="57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hanging="0"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hanging="0" w:left="112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hanging="0" w:left="140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hanging="0" w:left="168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9" w:customStyle="1">
    <w:name w:val="Основной текст1"/>
    <w:basedOn w:val="Normal"/>
    <w:link w:val="Style14"/>
    <w:uiPriority w:val="99"/>
    <w:qFormat/>
    <w:rsid w:val="008e58aa"/>
    <w:pPr>
      <w:widowControl w:val="false"/>
      <w:shd w:val="clear" w:color="auto" w:fill="FFFFFF"/>
      <w:spacing w:lineRule="exact" w:line="302"/>
    </w:pPr>
    <w:rPr/>
  </w:style>
  <w:style w:type="paragraph" w:styleId="Default" w:customStyle="1">
    <w:name w:val="Default"/>
    <w:qFormat/>
    <w:rsid w:val="008e58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Style38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a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2B0E4-62CC-4E5F-9D31-5C77E5F94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Application>AlterOffice/2026.1.1.1$Linux_X86_64 LibreOffice_project/3e21501661f60bfec03e40427f644625fc6a58b7</Application>
  <AppVersion>15.0000</AppVersion>
  <Pages>4</Pages>
  <Words>837</Words>
  <Characters>5876</Characters>
  <CharactersWithSpaces>6590</CharactersWithSpaces>
  <Paragraphs>129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2025-02-17T12:53:00Z</dcterms:created>
  <dc:creator>Быстров Олег Геннадьевич</dc:creator>
  <dc:description/>
  <dc:language>ru-RU</dc:language>
  <cp:lastModifiedBy>sunkulievaa@corp.gidroogk.com</cp:lastModifiedBy>
  <cp:lastPrinted>2026-01-29T09:30:51Z</cp:lastPrinted>
  <dcterms:modified xsi:type="dcterms:W3CDTF">2026-06-29T13:08:36Z</dcterms:modified>
  <cp:revision>19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